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2A221" w14:textId="77777777" w:rsidR="00150F60" w:rsidRDefault="00000000">
      <w:pPr>
        <w:spacing w:after="0" w:line="240" w:lineRule="auto"/>
        <w:jc w:val="center"/>
        <w:textAlignment w:val="baseline"/>
        <w:rPr>
          <w:rFonts w:eastAsia="Times New Roman" w:cs="Calibri"/>
          <w:color w:val="2F5496"/>
          <w:sz w:val="28"/>
          <w:szCs w:val="28"/>
        </w:rPr>
      </w:pPr>
      <w:r>
        <w:rPr>
          <w:rFonts w:eastAsia="Times New Roman" w:cs="Calibri"/>
          <w:b/>
          <w:bCs/>
          <w:color w:val="2F5496"/>
          <w:sz w:val="28"/>
          <w:szCs w:val="28"/>
          <w:lang w:val="bg-BG"/>
        </w:rPr>
        <w:t>Информационна среща по договор за определяне на специфични цели и мерки на защитени зони от мрежата Натура 2000, с Възложител МОСВ</w:t>
      </w:r>
      <w:r>
        <w:rPr>
          <w:rFonts w:eastAsia="Times New Roman" w:cs="Calibri"/>
          <w:color w:val="2F5496"/>
          <w:sz w:val="28"/>
          <w:szCs w:val="28"/>
        </w:rPr>
        <w:t> </w:t>
      </w:r>
    </w:p>
    <w:p w14:paraId="27B2841D" w14:textId="77777777" w:rsidR="00150F60" w:rsidRDefault="00150F6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2F5496"/>
          <w:sz w:val="18"/>
          <w:szCs w:val="18"/>
        </w:rPr>
      </w:pPr>
    </w:p>
    <w:p w14:paraId="068301E3" w14:textId="77777777" w:rsidR="00150F60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eastAsia="Times New Roman" w:cs="Calibri"/>
          <w:sz w:val="24"/>
          <w:szCs w:val="24"/>
        </w:rPr>
        <w:t> </w:t>
      </w:r>
    </w:p>
    <w:p w14:paraId="6AEC2187" w14:textId="77777777" w:rsidR="00150F60" w:rsidRDefault="00000000">
      <w:pPr>
        <w:spacing w:after="0" w:line="240" w:lineRule="auto"/>
        <w:jc w:val="center"/>
        <w:textAlignment w:val="baseline"/>
        <w:rPr>
          <w:rFonts w:eastAsia="Times New Roman" w:cs="Calibri"/>
          <w:sz w:val="28"/>
          <w:szCs w:val="28"/>
        </w:rPr>
      </w:pPr>
      <w:r>
        <w:rPr>
          <w:rFonts w:eastAsia="Times New Roman" w:cs="Calibri"/>
          <w:b/>
          <w:bCs/>
          <w:sz w:val="28"/>
          <w:szCs w:val="28"/>
          <w:lang w:val="bg-BG"/>
        </w:rPr>
        <w:t>ПРОГРАМА</w:t>
      </w:r>
      <w:r>
        <w:rPr>
          <w:rFonts w:eastAsia="Times New Roman" w:cs="Calibri"/>
          <w:sz w:val="28"/>
          <w:szCs w:val="28"/>
        </w:rPr>
        <w:t> </w:t>
      </w:r>
    </w:p>
    <w:p w14:paraId="7FCF1D7E" w14:textId="77777777" w:rsidR="00150F60" w:rsidRDefault="00150F60">
      <w:pPr>
        <w:spacing w:after="0" w:line="240" w:lineRule="auto"/>
        <w:jc w:val="center"/>
        <w:textAlignment w:val="baseline"/>
        <w:rPr>
          <w:rFonts w:eastAsia="Times New Roman" w:cs="Calibri"/>
          <w:sz w:val="28"/>
          <w:szCs w:val="28"/>
          <w:lang w:val="bg-BG"/>
        </w:rPr>
      </w:pPr>
    </w:p>
    <w:p w14:paraId="47AB68E1" w14:textId="77777777" w:rsidR="00150F60" w:rsidRDefault="00150F6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</w:p>
    <w:p w14:paraId="3654BDCD" w14:textId="77777777" w:rsidR="005C212C" w:rsidRDefault="00000000" w:rsidP="005C212C">
      <w:pPr>
        <w:spacing w:after="0" w:line="240" w:lineRule="auto"/>
        <w:textAlignment w:val="baseline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  <w:lang w:val="bg-BG"/>
        </w:rPr>
        <w:t>Дата и място на провеждане:</w:t>
      </w:r>
      <w:r>
        <w:rPr>
          <w:rFonts w:eastAsia="Times New Roman" w:cs="Calibri"/>
          <w:lang w:val="bg-BG"/>
        </w:rPr>
        <w:t> </w:t>
      </w:r>
      <w:r w:rsidR="005C212C" w:rsidRPr="005C212C">
        <w:rPr>
          <w:rFonts w:eastAsia="Times New Roman" w:cs="Calibri"/>
          <w:b/>
          <w:bCs/>
          <w:lang w:val="bg-BG"/>
        </w:rPr>
        <w:t>29 юни 2026 г., от 09:30 до 13:00 часа, хотел „Форум“, конферентна зала „Централ“, бул. „Цар Борис III“ 41, гр. София.</w:t>
      </w:r>
    </w:p>
    <w:p w14:paraId="4C3B6818" w14:textId="03BE4B20" w:rsidR="00150F60" w:rsidRDefault="00000000" w:rsidP="005C212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eastAsia="Times New Roman" w:cs="Calibri"/>
          <w:b/>
          <w:bCs/>
          <w:lang w:val="bg-BG"/>
        </w:rPr>
        <w:t>Презентатори:</w:t>
      </w:r>
      <w:r>
        <w:rPr>
          <w:rFonts w:eastAsia="Times New Roman" w:cs="Calibri"/>
          <w:lang w:val="bg-BG"/>
        </w:rPr>
        <w:t> Експерти от екипа на Консорциум „Дикон-Партицип“, изпълнител по договора</w:t>
      </w:r>
      <w:r>
        <w:rPr>
          <w:rFonts w:eastAsia="Times New Roman" w:cs="Calibri"/>
        </w:rPr>
        <w:t> </w:t>
      </w:r>
    </w:p>
    <w:p w14:paraId="1E1546B3" w14:textId="77777777" w:rsidR="00150F60" w:rsidRPr="00727077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eastAsia="Times New Roman" w:cs="Calibri"/>
          <w:b/>
          <w:bCs/>
          <w:lang w:val="bg-BG"/>
        </w:rPr>
        <w:t>Модератор:</w:t>
      </w:r>
      <w:r>
        <w:rPr>
          <w:rFonts w:eastAsia="Times New Roman" w:cs="Calibri"/>
          <w:lang w:val="bg-BG"/>
        </w:rPr>
        <w:t> г-жа Светлана Папукчиева, Ключов експерт Заинтересовани страни</w:t>
      </w:r>
      <w:r>
        <w:rPr>
          <w:rFonts w:eastAsia="Times New Roman" w:cs="Calibri"/>
        </w:rPr>
        <w:t> </w:t>
      </w:r>
    </w:p>
    <w:p w14:paraId="3145FCAC" w14:textId="77777777" w:rsidR="00150F60" w:rsidRPr="00727077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ascii="Segoe UI" w:eastAsia="Times New Roman" w:hAnsi="Segoe UI" w:cs="Segoe UI"/>
          <w:sz w:val="18"/>
          <w:szCs w:val="18"/>
        </w:rPr>
        <w:t> </w:t>
      </w:r>
    </w:p>
    <w:tbl>
      <w:tblPr>
        <w:tblW w:w="9098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7403"/>
      </w:tblGrid>
      <w:tr w:rsidR="00150F60" w14:paraId="6D60F038" w14:textId="77777777">
        <w:trPr>
          <w:trHeight w:val="300"/>
        </w:trPr>
        <w:tc>
          <w:tcPr>
            <w:tcW w:w="1695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</w:tcBorders>
            <w:shd w:val="clear" w:color="auto" w:fill="5B9BD5"/>
          </w:tcPr>
          <w:p w14:paraId="64FB1C70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bg-BG"/>
              </w:rPr>
              <w:t>Час</w:t>
            </w:r>
            <w:r>
              <w:rPr>
                <w:rFonts w:eastAsia="Times New Roman" w:cs="Calibri"/>
                <w:b/>
                <w:bCs/>
                <w:color w:val="FFFFFF"/>
              </w:rPr>
              <w:t> </w:t>
            </w:r>
          </w:p>
        </w:tc>
        <w:tc>
          <w:tcPr>
            <w:tcW w:w="7403" w:type="dxa"/>
            <w:tcBorders>
              <w:top w:val="single" w:sz="6" w:space="0" w:color="5B9BD5"/>
              <w:bottom w:val="single" w:sz="6" w:space="0" w:color="5B9BD5"/>
              <w:right w:val="single" w:sz="6" w:space="0" w:color="5B9BD5"/>
            </w:tcBorders>
            <w:shd w:val="clear" w:color="auto" w:fill="5B9BD5"/>
          </w:tcPr>
          <w:p w14:paraId="107ED93F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bg-BG"/>
              </w:rPr>
              <w:t>Съдържание</w:t>
            </w:r>
            <w:r>
              <w:rPr>
                <w:rFonts w:eastAsia="Times New Roman" w:cs="Calibri"/>
                <w:b/>
                <w:bCs/>
                <w:color w:val="FFFFFF"/>
              </w:rPr>
              <w:t> </w:t>
            </w:r>
          </w:p>
        </w:tc>
      </w:tr>
      <w:tr w:rsidR="00150F60" w14:paraId="0D2B89AF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3AEC863C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09:00 – 09:30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1EE6893C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lang w:val="bg-BG"/>
              </w:rPr>
              <w:t>Регистрация на участниците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0DDFEC7F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5A4DAB9B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09:30 – 09:40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70BD3984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Откриване на информационната среща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  <w:p w14:paraId="26545F7C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lang w:val="bg-BG"/>
              </w:rPr>
              <w:t>Представяне на целите на информационната среща и на нейната роля в рамките на Първата информационна кампания, както и кратък преглед на обхвата на договора – проучвания, анализи и оценки, комуникация и изграждане на капацитет.</w:t>
            </w:r>
          </w:p>
        </w:tc>
      </w:tr>
      <w:tr w:rsidR="00150F60" w14:paraId="59D8C6E4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62806C72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09:40 – 11:00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73CD46F9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Панел 1: </w:t>
            </w:r>
            <w:r>
              <w:rPr>
                <w:rFonts w:eastAsia="Times New Roman" w:cs="Calibri"/>
                <w:lang w:val="bg-BG"/>
              </w:rPr>
              <w:t> </w:t>
            </w:r>
            <w:r>
              <w:rPr>
                <w:rStyle w:val="Strong"/>
                <w:rFonts w:cs="Calibri"/>
                <w:lang w:val="bg-BG"/>
              </w:rPr>
              <w:t>Данните, които стоят зад специфичните цели и мерки</w:t>
            </w:r>
          </w:p>
          <w:p w14:paraId="2528BE70" w14:textId="595E29AD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В рамките на панела ще бъде представена методологичната и аналитичната основа за разработване на специфични и подробни цели и мерки. Ще бъдат разгледани европейския</w:t>
            </w:r>
            <w:r w:rsidR="007B61CE">
              <w:rPr>
                <w:lang w:val="bg-BG"/>
              </w:rPr>
              <w:t>т</w:t>
            </w:r>
            <w:r>
              <w:rPr>
                <w:lang w:val="bg-BG"/>
              </w:rPr>
              <w:t xml:space="preserve"> опит и добрите практики, основните понятия и логиката при формулирането на специфични цели и мерки. Ще бъдат представени както видовете данни, използвани в процеса (налични данни и данни, събрани в рамките на теренните проучвания), така и как тези данни се систематизират, документират и обработват в карти, база данни и други продукти, които осигуряват проследимост, съпоставимост и обоснованост на последващите анализи</w:t>
            </w:r>
            <w:r>
              <w:rPr>
                <w:rFonts w:cs="Calibri"/>
                <w:lang w:val="bg-BG"/>
              </w:rPr>
              <w:t>.</w:t>
            </w:r>
          </w:p>
          <w:p w14:paraId="271E8B75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Дискусия</w:t>
            </w:r>
            <w:r>
              <w:rPr>
                <w:rFonts w:eastAsia="Times New Roman" w:cs="Calibri"/>
                <w:lang w:val="bg-BG"/>
              </w:rPr>
              <w:t> </w:t>
            </w:r>
          </w:p>
        </w:tc>
      </w:tr>
      <w:tr w:rsidR="00150F60" w14:paraId="56C3CABE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6C530C4A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11:00 – 11:30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490B6F90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Кафе пауза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5511DE22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3045B64A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11:30 – 13:00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7D6EF17F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Панел 2: </w:t>
            </w:r>
            <w:r>
              <w:rPr>
                <w:rFonts w:eastAsia="Times New Roman" w:cs="Calibri"/>
              </w:rPr>
              <w:t> </w:t>
            </w:r>
            <w:r>
              <w:rPr>
                <w:rStyle w:val="Strong"/>
                <w:rFonts w:cs="Calibri"/>
                <w:lang w:val="bg-BG"/>
              </w:rPr>
              <w:t xml:space="preserve">Резултати от теренните проучвания </w:t>
            </w:r>
            <w:r>
              <w:rPr>
                <w:rStyle w:val="Strong"/>
                <w:lang w:val="bg-BG"/>
              </w:rPr>
              <w:t>за Първи полеви сезон</w:t>
            </w:r>
            <w:r>
              <w:rPr>
                <w:rStyle w:val="Strong"/>
                <w:rFonts w:cs="Calibri"/>
                <w:lang w:val="bg-BG"/>
              </w:rPr>
              <w:t xml:space="preserve"> и тяхното използване за определяне на специфичните цели и мерки</w:t>
            </w:r>
          </w:p>
          <w:p w14:paraId="24339351" w14:textId="171CE6AA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Панелът е посветен на обхвата, начина на провеждане и резултатите от теренните дейности в </w:t>
            </w:r>
            <w:r w:rsidR="002B719C">
              <w:rPr>
                <w:lang w:val="bg-BG"/>
              </w:rPr>
              <w:t>Юго</w:t>
            </w:r>
            <w:r w:rsidR="00BF7318">
              <w:rPr>
                <w:lang w:val="bg-BG"/>
              </w:rPr>
              <w:t>западен</w:t>
            </w:r>
            <w:r>
              <w:rPr>
                <w:lang w:val="bg-BG"/>
              </w:rPr>
              <w:t xml:space="preserve"> район на планиране. Ще бъдат представени данни за проучените видове и природни местообитания. Ще бъде разяснено по какъв начин резултатите от теренните проучвания се използват в следващите етапи на анализа и оценката и как подпомагат определянето на специфични и подробни цели и мерки за защитените зони</w:t>
            </w:r>
            <w:r>
              <w:rPr>
                <w:rFonts w:cs="Calibri"/>
                <w:lang w:val="bg-BG"/>
              </w:rPr>
              <w:t>.</w:t>
            </w:r>
          </w:p>
          <w:p w14:paraId="69A75FC4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Дискусия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38220C13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2983A8D4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13:00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3AF084C3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lang w:val="bg-BG"/>
              </w:rPr>
              <w:t>Край на събитието</w:t>
            </w:r>
            <w:r>
              <w:rPr>
                <w:rFonts w:eastAsia="Times New Roman" w:cs="Calibri"/>
              </w:rPr>
              <w:t> </w:t>
            </w:r>
          </w:p>
        </w:tc>
      </w:tr>
    </w:tbl>
    <w:p w14:paraId="0D360993" w14:textId="77777777" w:rsidR="00150F60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eastAsia="Times New Roman" w:cs="Calibri"/>
        </w:rPr>
        <w:t> </w:t>
      </w:r>
    </w:p>
    <w:p w14:paraId="6D1A099E" w14:textId="77777777" w:rsidR="00150F60" w:rsidRDefault="00150F60">
      <w:pPr>
        <w:spacing w:after="120" w:line="240" w:lineRule="auto"/>
        <w:jc w:val="both"/>
        <w:rPr>
          <w:rFonts w:ascii="Segoe UI" w:eastAsia="Aptos" w:hAnsi="Segoe UI" w:cs="Calibri"/>
          <w:sz w:val="24"/>
          <w:szCs w:val="24"/>
        </w:rPr>
      </w:pPr>
    </w:p>
    <w:sectPr w:rsidR="00150F6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497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AE6AB" w14:textId="77777777" w:rsidR="00FA1657" w:rsidRDefault="00FA1657">
      <w:pPr>
        <w:spacing w:after="0" w:line="240" w:lineRule="auto"/>
      </w:pPr>
      <w:r>
        <w:separator/>
      </w:r>
    </w:p>
  </w:endnote>
  <w:endnote w:type="continuationSeparator" w:id="0">
    <w:p w14:paraId="5758D591" w14:textId="77777777" w:rsidR="00FA1657" w:rsidRDefault="00FA1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58915" w14:textId="77777777" w:rsidR="00150F60" w:rsidRDefault="00000000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7348B4F4" w14:textId="77777777" w:rsidR="00150F60" w:rsidRDefault="00150F60">
    <w:pPr>
      <w:pStyle w:val="Footer"/>
      <w:rPr>
        <w:rFonts w:ascii="Times New Roman" w:hAnsi="Times New Roman"/>
        <w:color w:val="0070C0"/>
        <w:sz w:val="20"/>
        <w:szCs w:val="20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95497" w14:textId="77777777" w:rsidR="00150F60" w:rsidRDefault="00150F60">
    <w:pPr>
      <w:pStyle w:val="Footer"/>
      <w:jc w:val="right"/>
    </w:pPr>
  </w:p>
  <w:p w14:paraId="282F12ED" w14:textId="77777777" w:rsidR="00150F60" w:rsidRDefault="00000000">
    <w:pPr>
      <w:pStyle w:val="Footer"/>
      <w:ind w:left="-810" w:right="-738"/>
      <w:jc w:val="center"/>
      <w:rPr>
        <w:rFonts w:cs="Calibri"/>
        <w:sz w:val="20"/>
        <w:szCs w:val="20"/>
        <w:lang w:val="bg-BG" w:eastAsia="en-US"/>
      </w:rPr>
    </w:pPr>
    <w:r>
      <w:rPr>
        <w:rFonts w:cs="Calibri"/>
        <w:color w:val="0070C0"/>
        <w:sz w:val="20"/>
        <w:szCs w:val="20"/>
      </w:rPr>
      <w:t>---------------------------------------------------------www.eufunds.bg -----------------------------------------------------</w:t>
    </w:r>
    <w:bookmarkStart w:id="0" w:name="_Hlk206412732"/>
    <w:r>
      <w:rPr>
        <w:rFonts w:cs="Calibri"/>
        <w:sz w:val="20"/>
        <w:szCs w:val="20"/>
        <w:lang w:val="bg-BG" w:eastAsia="en-US"/>
      </w:rPr>
      <w:t xml:space="preserve"> </w:t>
    </w:r>
    <w:bookmarkEnd w:id="0"/>
  </w:p>
  <w:p w14:paraId="30F5E17E" w14:textId="77777777" w:rsidR="00150F60" w:rsidRDefault="00000000">
    <w:pPr>
      <w:pStyle w:val="Footer"/>
      <w:ind w:left="-810" w:right="-738"/>
      <w:jc w:val="center"/>
    </w:pPr>
    <w:r>
      <w:rPr>
        <w:rFonts w:cs="Calibri"/>
        <w:sz w:val="18"/>
        <w:szCs w:val="18"/>
        <w:lang w:val="bg-BG" w:eastAsia="en-US"/>
      </w:rPr>
      <w:t>Документът е разработен в изпълнение на проект № BG16FFPR002-3.023-0001  „Интегриране на екосистемния подход и прилагане на природосъобразни решения при опазването на защитените зони от мрежата Натура 2000“, по приоритет 3 „Биологично разнообразие“ на Програма „Околна среда“ 2021–2027 г., съфинансирана от Европейските фондове при споделено управление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D1506" w14:textId="77777777" w:rsidR="00FA1657" w:rsidRDefault="00FA1657">
      <w:pPr>
        <w:spacing w:after="0" w:line="240" w:lineRule="auto"/>
      </w:pPr>
      <w:r>
        <w:separator/>
      </w:r>
    </w:p>
  </w:footnote>
  <w:footnote w:type="continuationSeparator" w:id="0">
    <w:p w14:paraId="34B60FC8" w14:textId="77777777" w:rsidR="00FA1657" w:rsidRDefault="00FA1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76419" w14:textId="77777777" w:rsidR="00150F60" w:rsidRDefault="00150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5" w:type="dxa"/>
      <w:tblInd w:w="-522" w:type="dxa"/>
      <w:tblLayout w:type="fixed"/>
      <w:tblLook w:val="0000" w:firstRow="0" w:lastRow="0" w:firstColumn="0" w:lastColumn="0" w:noHBand="0" w:noVBand="0"/>
    </w:tblPr>
    <w:tblGrid>
      <w:gridCol w:w="2068"/>
      <w:gridCol w:w="6482"/>
      <w:gridCol w:w="2355"/>
    </w:tblGrid>
    <w:tr w:rsidR="00150F60" w14:paraId="003D5215" w14:textId="77777777">
      <w:tc>
        <w:tcPr>
          <w:tcW w:w="2068" w:type="dxa"/>
        </w:tcPr>
        <w:p w14:paraId="559BC7CD" w14:textId="473B18BB" w:rsidR="00150F60" w:rsidRDefault="005C212C">
          <w:pPr>
            <w:pStyle w:val="Header"/>
            <w:jc w:val="right"/>
            <w:rPr>
              <w:lang w:eastAsia="en-US"/>
            </w:rPr>
          </w:pPr>
          <w:r>
            <w:rPr>
              <w:noProof/>
              <w:lang w:eastAsia="en-US"/>
            </w:rPr>
            <w:pict w14:anchorId="63874E6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76.2pt;height:78pt;visibility:visible;mso-wrap-style:square">
                <v:imagedata r:id="rId1" o:title="" croptop="-3f" cropbottom="-3f" cropleft="-3f" cropright="-3f"/>
              </v:shape>
            </w:pict>
          </w:r>
        </w:p>
      </w:tc>
      <w:tc>
        <w:tcPr>
          <w:tcW w:w="6482" w:type="dxa"/>
        </w:tcPr>
        <w:p w14:paraId="544CD7D7" w14:textId="77777777" w:rsidR="00150F60" w:rsidRDefault="00150F60">
          <w:pPr>
            <w:snapToGrid w:val="0"/>
            <w:spacing w:after="0" w:line="240" w:lineRule="auto"/>
            <w:jc w:val="center"/>
            <w:rPr>
              <w:rFonts w:cs="Calibri"/>
              <w:iCs/>
              <w:sz w:val="8"/>
              <w:szCs w:val="8"/>
              <w:lang w:val="bg-BG"/>
            </w:rPr>
          </w:pPr>
        </w:p>
        <w:p w14:paraId="2301412D" w14:textId="77777777" w:rsidR="00150F60" w:rsidRDefault="00150F60">
          <w:pPr>
            <w:spacing w:after="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</w:p>
        <w:p w14:paraId="022E2EAC" w14:textId="77777777" w:rsidR="00150F60" w:rsidRDefault="00000000">
          <w:pPr>
            <w:spacing w:after="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  <w:r>
            <w:rPr>
              <w:rFonts w:cs="Calibri"/>
              <w:iCs/>
              <w:sz w:val="18"/>
              <w:szCs w:val="18"/>
              <w:lang w:val="bg-BG"/>
            </w:rPr>
            <w:t>Договор № Д-30-28/19.05.2025 г. с предмет „Определяне на специфични цели и мерки на защитени зони от мрежата Натура 2000“</w:t>
          </w:r>
        </w:p>
        <w:p w14:paraId="40C12F5C" w14:textId="77777777" w:rsidR="00150F60" w:rsidRDefault="00000000">
          <w:pPr>
            <w:spacing w:after="12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  <w:r>
            <w:rPr>
              <w:rFonts w:cs="Calibri"/>
              <w:iCs/>
              <w:sz w:val="18"/>
              <w:szCs w:val="18"/>
              <w:lang w:val="bg-BG"/>
            </w:rPr>
            <w:t>Консорциум „Дикон-Партицип“</w:t>
          </w:r>
        </w:p>
        <w:p w14:paraId="4E42C313" w14:textId="77777777" w:rsidR="00150F60" w:rsidRDefault="00150F60">
          <w:pPr>
            <w:jc w:val="center"/>
            <w:rPr>
              <w:rFonts w:cs="Calibri"/>
              <w:iCs/>
              <w:sz w:val="18"/>
              <w:szCs w:val="18"/>
              <w:lang w:val="bg-BG"/>
            </w:rPr>
          </w:pPr>
        </w:p>
      </w:tc>
      <w:tc>
        <w:tcPr>
          <w:tcW w:w="2355" w:type="dxa"/>
        </w:tcPr>
        <w:p w14:paraId="72429AE6" w14:textId="53337D51" w:rsidR="00150F60" w:rsidRDefault="005C212C">
          <w:pPr>
            <w:pStyle w:val="Header"/>
            <w:jc w:val="both"/>
            <w:rPr>
              <w:lang w:eastAsia="en-US"/>
            </w:rPr>
          </w:pPr>
          <w:r>
            <w:rPr>
              <w:noProof/>
              <w:lang w:eastAsia="en-US"/>
            </w:rPr>
            <w:pict w14:anchorId="5B0F5C2D">
              <v:shape id="Image1" o:spid="_x0000_i1026" type="#_x0000_t75" style="width:77.4pt;height:61.8pt;visibility:visible;mso-wrap-style:square">
                <v:imagedata r:id="rId2" o:title="" croptop="-3f" cropbottom="-3f" cropleft="-3f" cropright="-3f"/>
              </v:shape>
            </w:pict>
          </w:r>
        </w:p>
      </w:tc>
    </w:tr>
  </w:tbl>
  <w:p w14:paraId="4B82B217" w14:textId="77777777" w:rsidR="00150F60" w:rsidRDefault="00150F60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D05A0"/>
    <w:multiLevelType w:val="multilevel"/>
    <w:tmpl w:val="DE32A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48956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0F60"/>
    <w:rsid w:val="00150F60"/>
    <w:rsid w:val="001D4F47"/>
    <w:rsid w:val="002B719C"/>
    <w:rsid w:val="00304537"/>
    <w:rsid w:val="004751BB"/>
    <w:rsid w:val="005C212C"/>
    <w:rsid w:val="006632B7"/>
    <w:rsid w:val="00727077"/>
    <w:rsid w:val="007B61CE"/>
    <w:rsid w:val="007F4ACE"/>
    <w:rsid w:val="00A11625"/>
    <w:rsid w:val="00B028B1"/>
    <w:rsid w:val="00B75EAC"/>
    <w:rsid w:val="00BF7318"/>
    <w:rsid w:val="00D925B4"/>
    <w:rsid w:val="00E613B4"/>
    <w:rsid w:val="00F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EEFC0"/>
  <w15:docId w15:val="{39F90402-0D13-4BD9-81DE-232874A7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6" w:lineRule="auto"/>
    </w:pPr>
    <w:rPr>
      <w:rFonts w:ascii="Calibri" w:eastAsia="Calibri" w:hAnsi="Calibri" w:cs="Times New Roman"/>
      <w:sz w:val="22"/>
      <w:szCs w:val="22"/>
      <w:lang w:val="en-US" w:eastAsia="zh-CN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Symbol" w:hAnsi="Symbol" w:cs="Symbol"/>
      <w:color w:val="E36C0A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HeaderChar">
    <w:name w:val="Header Char"/>
    <w:qFormat/>
    <w:rPr>
      <w:lang w:val="en-US"/>
    </w:rPr>
  </w:style>
  <w:style w:type="character" w:customStyle="1" w:styleId="FooterChar">
    <w:name w:val="Footer Char"/>
    <w:qFormat/>
    <w:rPr>
      <w:lang w:val="en-US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sz w:val="20"/>
      <w:szCs w:val="20"/>
      <w:lang w:val="en-US"/>
    </w:rPr>
  </w:style>
  <w:style w:type="character" w:customStyle="1" w:styleId="CommentSubjectChar">
    <w:name w:val="Comment Subject Char"/>
    <w:qFormat/>
    <w:rPr>
      <w:b/>
      <w:bCs/>
      <w:sz w:val="20"/>
      <w:szCs w:val="20"/>
      <w:lang w:val="en-US"/>
    </w:rPr>
  </w:style>
  <w:style w:type="character" w:customStyle="1" w:styleId="cf01">
    <w:name w:val="cf01"/>
    <w:qFormat/>
    <w:rPr>
      <w:rFonts w:ascii="Segoe UI" w:hAnsi="Segoe UI" w:cs="Segoe UI"/>
      <w:sz w:val="18"/>
      <w:szCs w:val="18"/>
    </w:rPr>
  </w:style>
  <w:style w:type="character" w:customStyle="1" w:styleId="cf11">
    <w:name w:val="cf11"/>
    <w:qFormat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  <w:lang w:val="en-US"/>
    </w:rPr>
  </w:style>
  <w:style w:type="character" w:customStyle="1" w:styleId="font541">
    <w:name w:val="font541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B050"/>
      <w:sz w:val="24"/>
      <w:szCs w:val="24"/>
      <w:u w:val="none"/>
    </w:rPr>
  </w:style>
  <w:style w:type="character" w:customStyle="1" w:styleId="font481">
    <w:name w:val="font481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4"/>
      <w:szCs w:val="24"/>
      <w:u w:val="none"/>
    </w:rPr>
  </w:style>
  <w:style w:type="character" w:styleId="Strong">
    <w:name w:val="Strong"/>
    <w:qFormat/>
    <w:rPr>
      <w:b/>
      <w:bCs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val="en-US" w:eastAsia="zh-CN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A8729C6C45154193D263242EE0BD22" ma:contentTypeVersion="13" ma:contentTypeDescription="Create a new document." ma:contentTypeScope="" ma:versionID="970c49d1d7392aae5c74f3a62c343146">
  <xsd:schema xmlns:xsd="http://www.w3.org/2001/XMLSchema" xmlns:xs="http://www.w3.org/2001/XMLSchema" xmlns:p="http://schemas.microsoft.com/office/2006/metadata/properties" xmlns:ns2="f1791170-d59c-4cf9-aaff-1417dce9705e" xmlns:ns3="25e6073b-0c16-48ea-b29d-66591b5169f6" targetNamespace="http://schemas.microsoft.com/office/2006/metadata/properties" ma:root="true" ma:fieldsID="70d0d8808a58008ec40c0a476e62da63" ns2:_="" ns3:_="">
    <xsd:import namespace="f1791170-d59c-4cf9-aaff-1417dce9705e"/>
    <xsd:import namespace="25e6073b-0c16-48ea-b29d-66591b5169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91170-d59c-4cf9-aaff-1417dce97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b4ade83-763e-4cd9-aa03-909457d75b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073b-0c16-48ea-b29d-66591b5169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352a2de-7be2-4a59-9d9d-4619b9ea1c3b}" ma:internalName="TaxCatchAll" ma:showField="CatchAllData" ma:web="25e6073b-0c16-48ea-b29d-66591b5169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e6073b-0c16-48ea-b29d-66591b5169f6" xsi:nil="true"/>
    <lcf76f155ced4ddcb4097134ff3c332f xmlns="f1791170-d59c-4cf9-aaff-1417dce970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6AFDF6-B599-46C1-ACB3-600990429940}"/>
</file>

<file path=customXml/itemProps2.xml><?xml version="1.0" encoding="utf-8"?>
<ds:datastoreItem xmlns:ds="http://schemas.openxmlformats.org/officeDocument/2006/customXml" ds:itemID="{4DCA171F-B8D0-4A65-ADE1-148490BC7DA2}"/>
</file>

<file path=customXml/itemProps3.xml><?xml version="1.0" encoding="utf-8"?>
<ds:datastoreItem xmlns:ds="http://schemas.openxmlformats.org/officeDocument/2006/customXml" ds:itemID="{14CBDA88-A3A3-4D82-B495-2395140357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Zoya Marvakova</cp:lastModifiedBy>
  <cp:revision>7</cp:revision>
  <cp:lastPrinted>2026-06-08T14:28:00Z</cp:lastPrinted>
  <dcterms:created xsi:type="dcterms:W3CDTF">2026-06-03T10:43:00Z</dcterms:created>
  <dcterms:modified xsi:type="dcterms:W3CDTF">2026-06-11T17:23:00Z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2025-10-30T15:30:00Z</dcterms:created>
  <dc:creator>OPOS BG16</dc:creator>
  <dc:description/>
  <cp:keywords/>
  <dc:language>en-US</dc:language>
  <cp:lastModifiedBy>Zoya Marvakova</cp:lastModifiedBy>
  <cp:lastPrinted>2025-10-06T17:59:00Z</cp:lastPrinted>
  <dcterms:modified xsi:type="dcterms:W3CDTF">2026-05-07T14:09:00Z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0x010100E3A8729C6C45154193D263242EE0BD22</vt:lpwstr>
  </property>
</Properties>
</file>